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72" w:rsidRPr="00701772" w:rsidRDefault="00701772" w:rsidP="00701772">
      <w:pPr>
        <w:pStyle w:val="default"/>
        <w:spacing w:before="0" w:beforeAutospacing="0" w:after="0" w:afterAutospacing="0"/>
        <w:rPr>
          <w:rFonts w:asciiTheme="minorHAnsi" w:hAnsiTheme="minorHAnsi" w:cstheme="minorHAnsi"/>
          <w:b/>
          <w:bCs/>
          <w:color w:val="323232"/>
          <w:sz w:val="22"/>
          <w:szCs w:val="22"/>
        </w:rPr>
      </w:pPr>
      <w:bookmarkStart w:id="0" w:name="_GoBack"/>
      <w:bookmarkEnd w:id="0"/>
      <w:r w:rsidRPr="00701772">
        <w:rPr>
          <w:rFonts w:asciiTheme="minorHAnsi" w:hAnsiTheme="minorHAnsi" w:cstheme="minorHAnsi"/>
          <w:b/>
          <w:bCs/>
          <w:color w:val="323232"/>
          <w:sz w:val="22"/>
          <w:szCs w:val="22"/>
        </w:rPr>
        <w:t>Mandatory Replication Policy</w:t>
      </w:r>
    </w:p>
    <w:p w:rsidR="00701772" w:rsidRPr="00701772" w:rsidRDefault="00701772" w:rsidP="00701772">
      <w:pPr>
        <w:pStyle w:val="default"/>
        <w:spacing w:before="0" w:beforeAutospacing="0" w:after="0" w:afterAutospacing="0"/>
        <w:rPr>
          <w:rFonts w:asciiTheme="minorHAnsi" w:hAnsiTheme="minorHAnsi" w:cstheme="minorHAnsi"/>
          <w:b/>
          <w:bCs/>
          <w:color w:val="323232"/>
          <w:sz w:val="22"/>
          <w:szCs w:val="22"/>
        </w:rPr>
      </w:pPr>
    </w:p>
    <w:p w:rsidR="00CD5530" w:rsidRPr="00701772" w:rsidRDefault="00CD5530" w:rsidP="00701772">
      <w:pPr>
        <w:pStyle w:val="default"/>
        <w:spacing w:before="0" w:beforeAutospacing="0" w:after="0" w:afterAutospacing="0"/>
        <w:rPr>
          <w:rFonts w:asciiTheme="minorHAnsi" w:hAnsiTheme="minorHAnsi" w:cstheme="minorHAnsi"/>
          <w:b/>
          <w:bCs/>
          <w:color w:val="323232"/>
          <w:sz w:val="22"/>
          <w:szCs w:val="22"/>
        </w:rPr>
      </w:pPr>
      <w:r w:rsidRPr="00701772">
        <w:rPr>
          <w:rFonts w:asciiTheme="minorHAnsi" w:hAnsiTheme="minorHAnsi" w:cstheme="minorHAnsi"/>
          <w:b/>
          <w:bCs/>
          <w:color w:val="323232"/>
          <w:sz w:val="22"/>
          <w:szCs w:val="22"/>
        </w:rPr>
        <w:t>The Journal of Development Economics’ Replication Policy</w:t>
      </w:r>
    </w:p>
    <w:p w:rsidR="00CD5530" w:rsidRPr="00701772" w:rsidRDefault="00CD5530" w:rsidP="00701772">
      <w:pPr>
        <w:pStyle w:val="default"/>
        <w:spacing w:before="0" w:beforeAutospacing="0" w:after="0" w:afterAutospacing="0"/>
        <w:rPr>
          <w:rFonts w:asciiTheme="minorHAnsi" w:hAnsiTheme="minorHAnsi" w:cstheme="minorHAnsi"/>
          <w:b/>
          <w:bCs/>
          <w:color w:val="323232"/>
          <w:sz w:val="22"/>
          <w:szCs w:val="22"/>
        </w:rPr>
      </w:pPr>
    </w:p>
    <w:p w:rsidR="00CD5530" w:rsidRPr="00701772" w:rsidRDefault="00CD5530" w:rsidP="00701772">
      <w:pPr>
        <w:pStyle w:val="default"/>
        <w:spacing w:before="0" w:beforeAutospacing="0" w:after="0" w:afterAutospacing="0"/>
        <w:rPr>
          <w:rFonts w:asciiTheme="minorHAnsi" w:hAnsiTheme="minorHAnsi" w:cstheme="minorHAnsi"/>
          <w:color w:val="323232"/>
          <w:sz w:val="22"/>
          <w:szCs w:val="22"/>
        </w:rPr>
      </w:pPr>
      <w:r w:rsidRPr="00701772">
        <w:rPr>
          <w:rFonts w:asciiTheme="minorHAnsi" w:hAnsiTheme="minorHAnsi" w:cstheme="minorHAnsi"/>
          <w:color w:val="323232"/>
          <w:sz w:val="22"/>
          <w:szCs w:val="22"/>
        </w:rPr>
        <w:t xml:space="preserve">The Journal of Development Economics will in general publish papers only if the data used in the analysis are clearly and precisely documented and are readily available to any researcher for purposes of replication. Authors of accepted papers that contain empirical work, simulations, or experimental work must provide to the JDE, prior to publication, the data, programs, and other details of the computations sufficient to permit replication. These will be posted on the JDE Web site </w:t>
      </w:r>
      <w:r w:rsidRPr="00701772">
        <w:rPr>
          <w:rStyle w:val="Emphasis"/>
          <w:rFonts w:asciiTheme="minorHAnsi" w:hAnsiTheme="minorHAnsi" w:cstheme="minorHAnsi"/>
          <w:sz w:val="22"/>
          <w:szCs w:val="22"/>
        </w:rPr>
        <w:t>alongside the article. Authors may be asked to submit</w:t>
      </w:r>
      <w:r w:rsidRPr="00701772">
        <w:rPr>
          <w:rStyle w:val="Emphasis"/>
          <w:rFonts w:asciiTheme="minorHAnsi" w:hAnsiTheme="minorHAnsi" w:cstheme="minorHAnsi"/>
          <w:color w:val="FF0000"/>
          <w:sz w:val="22"/>
          <w:szCs w:val="22"/>
        </w:rPr>
        <w:t xml:space="preserve"> </w:t>
      </w:r>
      <w:r w:rsidRPr="00701772">
        <w:rPr>
          <w:rStyle w:val="Emphasis"/>
          <w:rFonts w:asciiTheme="minorHAnsi" w:hAnsiTheme="minorHAnsi" w:cstheme="minorHAnsi"/>
          <w:color w:val="323232"/>
          <w:sz w:val="22"/>
          <w:szCs w:val="22"/>
        </w:rPr>
        <w:t>the data, programs, and other details of the computations sufficient to permit replication at the review stage, if requested by the referees or the Editor.</w:t>
      </w:r>
      <w:r w:rsidRPr="00701772">
        <w:rPr>
          <w:rFonts w:asciiTheme="minorHAnsi" w:hAnsiTheme="minorHAnsi" w:cstheme="minorHAnsi"/>
          <w:color w:val="323232"/>
          <w:sz w:val="22"/>
          <w:szCs w:val="22"/>
        </w:rPr>
        <w:t xml:space="preserve"> If the data used in a paper are proprietary or if, for some other reason, the requirements above cannot be met, the editors should be notified at the time of submission. It will be at the editors’ discretion whether the paper can then be reviewed. Exceptions will not be considered later in the review and publication process. </w:t>
      </w:r>
    </w:p>
    <w:p w:rsidR="00CD5530" w:rsidRPr="00701772" w:rsidRDefault="00CD5530" w:rsidP="00701772">
      <w:pPr>
        <w:pStyle w:val="default"/>
        <w:spacing w:before="0" w:beforeAutospacing="0" w:after="0" w:afterAutospacing="0"/>
        <w:rPr>
          <w:rFonts w:asciiTheme="minorHAnsi" w:hAnsiTheme="minorHAnsi" w:cstheme="minorHAnsi"/>
          <w:color w:val="323232"/>
          <w:sz w:val="22"/>
          <w:szCs w:val="22"/>
        </w:rPr>
      </w:pP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b/>
          <w:bCs/>
          <w:color w:val="333333"/>
        </w:rPr>
        <w:t>Econometric and simulation papers</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For econometric and simulation papers, the minimum requirement should include the data set(s) and programs used to run the final models, plus a description of how previous intermediate data sets and programs were employed to create the final data set(s). Authors are invited to submit these intermediate data files and programs as an option; if they are not provided, authors must fully cooperate with investigators seeking to conduct a replication who request them. The data files and programs can be provided in any format using any statistical package or software. Authors must provide a Readme PDF file listing all included files and documenting the purpose and format of each file provided, as well as instructing a user on how replication can be conducted.</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 xml:space="preserve">If a request for an exemption based on proprietary data is made, authors should inform the editors if the data can be accessed or obtained in some other way by independent researchers for purposes of replication. Authors are also asked to provide information on how the proprietary data can be obtained by others in their Readme PDF file. A copy of the programs used to create the final results is still required. </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b/>
          <w:bCs/>
          <w:color w:val="333333"/>
        </w:rPr>
        <w:t>Experimental papers</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For experimental papers, there are requirements for submitted papers as well as accepted papers. Authors of experimental articles are expected to supply the following supplementary materials:</w:t>
      </w:r>
    </w:p>
    <w:p w:rsidR="00701772" w:rsidRPr="00701772" w:rsidRDefault="00701772" w:rsidP="00701772">
      <w:pPr>
        <w:numPr>
          <w:ilvl w:val="0"/>
          <w:numId w:val="1"/>
        </w:numPr>
        <w:tabs>
          <w:tab w:val="clear" w:pos="-270"/>
        </w:tabs>
        <w:spacing w:after="75" w:line="240" w:lineRule="auto"/>
        <w:ind w:left="567" w:hanging="567"/>
        <w:rPr>
          <w:rFonts w:eastAsia="Times New Roman" w:cstheme="minorHAnsi"/>
          <w:color w:val="333333"/>
        </w:rPr>
      </w:pPr>
      <w:r w:rsidRPr="00701772">
        <w:rPr>
          <w:rFonts w:eastAsia="Times New Roman" w:cstheme="minorHAnsi"/>
          <w:color w:val="333333"/>
        </w:rPr>
        <w:t xml:space="preserve">The original instructions. These should be summarized as part of the discussion of experimental design in the submitted manuscript, and also provided in full as an appendix at the time of submission. Reasonable judgment should be used. For example, if instructions for different sessions differ only slightly, then one sample of the instructions suffices, with the differences noted in a short accompanying document. </w:t>
      </w:r>
    </w:p>
    <w:p w:rsidR="00701772" w:rsidRPr="00701772" w:rsidRDefault="00701772" w:rsidP="00701772">
      <w:pPr>
        <w:numPr>
          <w:ilvl w:val="0"/>
          <w:numId w:val="1"/>
        </w:numPr>
        <w:tabs>
          <w:tab w:val="clear" w:pos="-270"/>
        </w:tabs>
        <w:spacing w:after="75" w:line="240" w:lineRule="auto"/>
        <w:ind w:left="567" w:hanging="567"/>
        <w:rPr>
          <w:rFonts w:eastAsia="Times New Roman" w:cstheme="minorHAnsi"/>
          <w:color w:val="333333"/>
        </w:rPr>
      </w:pPr>
      <w:r w:rsidRPr="00701772">
        <w:rPr>
          <w:rFonts w:eastAsia="Times New Roman" w:cstheme="minorHAnsi"/>
          <w:color w:val="333333"/>
        </w:rPr>
        <w:t xml:space="preserve">The description of any pilot studies (possibly with different parameters or treatments), practice trials and quizzes should be included at the time of submission. </w:t>
      </w:r>
    </w:p>
    <w:p w:rsidR="00701772" w:rsidRPr="00701772" w:rsidRDefault="00701772" w:rsidP="00701772">
      <w:pPr>
        <w:numPr>
          <w:ilvl w:val="0"/>
          <w:numId w:val="1"/>
        </w:numPr>
        <w:tabs>
          <w:tab w:val="clear" w:pos="-270"/>
        </w:tabs>
        <w:spacing w:after="75" w:line="240" w:lineRule="auto"/>
        <w:ind w:left="567" w:hanging="567"/>
        <w:rPr>
          <w:rFonts w:eastAsia="Times New Roman" w:cstheme="minorHAnsi"/>
          <w:color w:val="333333"/>
        </w:rPr>
      </w:pPr>
      <w:r w:rsidRPr="00701772">
        <w:rPr>
          <w:rFonts w:eastAsia="Times New Roman" w:cstheme="minorHAnsi"/>
          <w:color w:val="333333"/>
        </w:rPr>
        <w:t xml:space="preserve">Information about subject eligibility or selection, such as exclusions based on past participation in experiments, college major, etc. This should be summarized as part of the discussion of experimental design in the submitted manuscript. </w:t>
      </w:r>
    </w:p>
    <w:p w:rsidR="00701772" w:rsidRPr="00701772" w:rsidRDefault="00701772" w:rsidP="00701772">
      <w:pPr>
        <w:numPr>
          <w:ilvl w:val="0"/>
          <w:numId w:val="1"/>
        </w:numPr>
        <w:tabs>
          <w:tab w:val="clear" w:pos="-270"/>
        </w:tabs>
        <w:spacing w:after="75" w:line="240" w:lineRule="auto"/>
        <w:ind w:left="567" w:hanging="567"/>
        <w:rPr>
          <w:rFonts w:eastAsia="Times New Roman" w:cstheme="minorHAnsi"/>
          <w:color w:val="333333"/>
        </w:rPr>
      </w:pPr>
      <w:r w:rsidRPr="00701772">
        <w:rPr>
          <w:rFonts w:eastAsia="Times New Roman" w:cstheme="minorHAnsi"/>
          <w:color w:val="333333"/>
        </w:rPr>
        <w:t xml:space="preserve">Any computer programs, configuration files, or scripts used to run the experiment and/or to analyze the data. These should be summarized as appropriate in the submitted manuscript and provided in full as an appendix when the final version of a manuscript is sent in. (Data summaries, intermediate results, and advice about how to use the programs are welcome, but not required.) </w:t>
      </w:r>
    </w:p>
    <w:p w:rsidR="00701772" w:rsidRPr="00701772" w:rsidRDefault="00701772" w:rsidP="00701772">
      <w:pPr>
        <w:numPr>
          <w:ilvl w:val="0"/>
          <w:numId w:val="1"/>
        </w:numPr>
        <w:tabs>
          <w:tab w:val="clear" w:pos="-270"/>
        </w:tabs>
        <w:spacing w:after="75" w:line="240" w:lineRule="auto"/>
        <w:ind w:left="567" w:hanging="567"/>
        <w:rPr>
          <w:rFonts w:eastAsia="Times New Roman" w:cstheme="minorHAnsi"/>
          <w:color w:val="333333"/>
        </w:rPr>
      </w:pPr>
      <w:r w:rsidRPr="00701772">
        <w:rPr>
          <w:rFonts w:eastAsia="Times New Roman" w:cstheme="minorHAnsi"/>
          <w:color w:val="333333"/>
        </w:rPr>
        <w:t xml:space="preserve">The raw data from the experiment. These should be summarized as appropriate in the submitted manuscript and provided in full as an appendix when the final version of an accepted manuscript is sent in, with sufficient explanation to make it possible to use the submitted computer programs to </w:t>
      </w:r>
      <w:r w:rsidRPr="00701772">
        <w:rPr>
          <w:rFonts w:eastAsia="Times New Roman" w:cstheme="minorHAnsi"/>
          <w:color w:val="333333"/>
        </w:rPr>
        <w:lastRenderedPageBreak/>
        <w:t xml:space="preserve">replicate the data analysis. If during the review process the editor or referees feel that the raw data is needed, requests for that material will be made, and may naturally cause delay in processing, hence we encourage as complete a submission as feasible. </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Other information, such as applications to Institutional Review Boards, consent forms, or Web signup and disclosure forms, is not required or expected.</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If the paper is accepted by the JDE, the appendices containing instructions, the computer programs, configuration files, or scripts used to run the experiment and/or analyze the data, and the raw data will normally be archived on the JDE Web site when the paper appears.</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b/>
          <w:bCs/>
          <w:color w:val="333333"/>
        </w:rPr>
        <w:t xml:space="preserve">Instructions for Sending Data, Appendices, Additional Materials, Final Manuscripts, and Figures </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When submitting a manuscript to the journal, authors are expected to ensure that their data and sufficient details to permit replication are saved, ready to be provided should the manuscript be accepted for publication.</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The data files and any instructions on how to replicate the study will be uploaded to Science Direct as supplementary material when an accepted paper is published online. Any supplementary material will not be typeset and will be published online in the form in which it is received when an article is accepted for publication – it is the responsibility of the author to ensure that these files do not contain any errors or confidential information before submitting the manuscript to the journal.</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 xml:space="preserve">Once the final manuscript has been accepted, the authors will be contacted by the editorial office to request the files. </w:t>
      </w:r>
      <w:r w:rsidRPr="00701772">
        <w:rPr>
          <w:rFonts w:eastAsia="Times New Roman" w:cstheme="minorHAnsi"/>
          <w:b/>
          <w:bCs/>
          <w:color w:val="333333"/>
        </w:rPr>
        <w:t>The replication files need to be sent to the editorial office within 5 days of being requested.</w:t>
      </w:r>
    </w:p>
    <w:p w:rsidR="00701772" w:rsidRPr="00701772" w:rsidRDefault="00701772" w:rsidP="00701772">
      <w:pPr>
        <w:spacing w:after="150" w:line="240" w:lineRule="auto"/>
        <w:rPr>
          <w:rFonts w:eastAsia="Times New Roman" w:cstheme="minorHAnsi"/>
          <w:color w:val="333333"/>
        </w:rPr>
      </w:pPr>
      <w:r w:rsidRPr="00701772">
        <w:rPr>
          <w:rFonts w:eastAsia="Times New Roman" w:cstheme="minorHAnsi"/>
          <w:color w:val="333333"/>
        </w:rPr>
        <w:t xml:space="preserve">Please label your files before sending them. </w:t>
      </w:r>
      <w:r w:rsidRPr="00701772">
        <w:rPr>
          <w:rFonts w:eastAsia="Times New Roman" w:cstheme="minorHAnsi"/>
          <w:b/>
          <w:bCs/>
          <w:color w:val="333333"/>
        </w:rPr>
        <w:t xml:space="preserve">Each file name should clearly indicate if the file is a “manuscript,” “data,” “appendix,” “figures,” or “additional materials.” </w:t>
      </w:r>
    </w:p>
    <w:p w:rsidR="00701772" w:rsidRPr="00701772" w:rsidRDefault="00701772" w:rsidP="00701772">
      <w:pPr>
        <w:numPr>
          <w:ilvl w:val="0"/>
          <w:numId w:val="2"/>
        </w:numPr>
        <w:tabs>
          <w:tab w:val="clear" w:pos="585"/>
        </w:tabs>
        <w:spacing w:after="75" w:line="240" w:lineRule="auto"/>
        <w:ind w:left="525"/>
        <w:rPr>
          <w:rFonts w:eastAsia="Times New Roman" w:cstheme="minorHAnsi"/>
          <w:color w:val="333333"/>
        </w:rPr>
      </w:pPr>
      <w:r w:rsidRPr="00701772">
        <w:rPr>
          <w:rFonts w:eastAsia="Times New Roman" w:cstheme="minorHAnsi"/>
          <w:color w:val="333333"/>
        </w:rPr>
        <w:t xml:space="preserve">Please use underscores instead of spaces when creating file names. Please include the EER manuscript number in the file name for reference. </w:t>
      </w:r>
    </w:p>
    <w:p w:rsidR="00701772" w:rsidRPr="00701772" w:rsidRDefault="00701772" w:rsidP="00701772">
      <w:pPr>
        <w:numPr>
          <w:ilvl w:val="0"/>
          <w:numId w:val="2"/>
        </w:numPr>
        <w:tabs>
          <w:tab w:val="clear" w:pos="585"/>
        </w:tabs>
        <w:spacing w:after="75" w:line="240" w:lineRule="auto"/>
        <w:ind w:left="525"/>
        <w:rPr>
          <w:rFonts w:eastAsia="Times New Roman" w:cstheme="minorHAnsi"/>
          <w:color w:val="333333"/>
        </w:rPr>
      </w:pPr>
      <w:r w:rsidRPr="00701772">
        <w:rPr>
          <w:rFonts w:eastAsia="Times New Roman" w:cstheme="minorHAnsi"/>
          <w:color w:val="333333"/>
        </w:rPr>
        <w:t xml:space="preserve">Files may be sent in PDF format (for example, EER-D-12-00001_data_file.pdf). </w:t>
      </w:r>
    </w:p>
    <w:p w:rsidR="00701772" w:rsidRPr="00701772" w:rsidRDefault="00701772" w:rsidP="00701772">
      <w:pPr>
        <w:numPr>
          <w:ilvl w:val="0"/>
          <w:numId w:val="2"/>
        </w:numPr>
        <w:tabs>
          <w:tab w:val="clear" w:pos="585"/>
        </w:tabs>
        <w:spacing w:after="75" w:line="240" w:lineRule="auto"/>
        <w:ind w:left="525"/>
        <w:rPr>
          <w:rFonts w:eastAsia="Times New Roman" w:cstheme="minorHAnsi"/>
          <w:color w:val="333333"/>
        </w:rPr>
      </w:pPr>
      <w:r w:rsidRPr="00701772">
        <w:rPr>
          <w:rFonts w:eastAsia="Times New Roman" w:cstheme="minorHAnsi"/>
          <w:color w:val="333333"/>
        </w:rPr>
        <w:t xml:space="preserve">All datasets must include a PDF “Read me” file (clearly labeled, for example, ReadMe.pdf) containing a list of all files included and guiding a user on the types of files and how to use them to do replication. The PDF “Read Me” file should be included in the .zip file containing the dataset. </w:t>
      </w:r>
    </w:p>
    <w:p w:rsidR="00701772" w:rsidRPr="00701772" w:rsidRDefault="00701772" w:rsidP="00701772">
      <w:pPr>
        <w:numPr>
          <w:ilvl w:val="0"/>
          <w:numId w:val="2"/>
        </w:numPr>
        <w:tabs>
          <w:tab w:val="clear" w:pos="585"/>
        </w:tabs>
        <w:spacing w:after="150" w:line="240" w:lineRule="auto"/>
        <w:ind w:left="525"/>
        <w:rPr>
          <w:rFonts w:eastAsia="Times New Roman" w:cstheme="minorHAnsi"/>
          <w:color w:val="333333"/>
        </w:rPr>
      </w:pPr>
      <w:r w:rsidRPr="00701772">
        <w:rPr>
          <w:rFonts w:eastAsia="Times New Roman" w:cstheme="minorHAnsi"/>
          <w:color w:val="333333"/>
        </w:rPr>
        <w:t>For datasets that are too large to send by e-mail, we make available the option of uploading large files to our FTP server. Please contact JournalofDevelopment@elsevier.com for instructions on accessing the FTP server.</w:t>
      </w:r>
    </w:p>
    <w:p w:rsidR="00767C50" w:rsidRPr="00701772" w:rsidRDefault="00767C50" w:rsidP="00701772">
      <w:pPr>
        <w:spacing w:line="240" w:lineRule="auto"/>
        <w:rPr>
          <w:rFonts w:cstheme="minorHAnsi"/>
        </w:rPr>
      </w:pPr>
    </w:p>
    <w:sectPr w:rsidR="00767C50" w:rsidRPr="00701772" w:rsidSect="008350D9">
      <w:pgSz w:w="11907" w:h="16839"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87F"/>
    <w:multiLevelType w:val="multilevel"/>
    <w:tmpl w:val="1F6CC206"/>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
    <w:nsid w:val="6E2E35CC"/>
    <w:multiLevelType w:val="multilevel"/>
    <w:tmpl w:val="17162DA4"/>
    <w:lvl w:ilvl="0">
      <w:start w:val="1"/>
      <w:numFmt w:val="decimal"/>
      <w:lvlText w:val="%1."/>
      <w:lvlJc w:val="left"/>
      <w:pPr>
        <w:tabs>
          <w:tab w:val="num" w:pos="-270"/>
        </w:tabs>
        <w:ind w:left="-270" w:hanging="360"/>
      </w:pPr>
    </w:lvl>
    <w:lvl w:ilvl="1" w:tentative="1">
      <w:start w:val="1"/>
      <w:numFmt w:val="decimal"/>
      <w:lvlText w:val="%2."/>
      <w:lvlJc w:val="left"/>
      <w:pPr>
        <w:tabs>
          <w:tab w:val="num" w:pos="450"/>
        </w:tabs>
        <w:ind w:left="450" w:hanging="360"/>
      </w:pPr>
    </w:lvl>
    <w:lvl w:ilvl="2" w:tentative="1">
      <w:start w:val="1"/>
      <w:numFmt w:val="decimal"/>
      <w:lvlText w:val="%3."/>
      <w:lvlJc w:val="left"/>
      <w:pPr>
        <w:tabs>
          <w:tab w:val="num" w:pos="1170"/>
        </w:tabs>
        <w:ind w:left="1170" w:hanging="360"/>
      </w:pPr>
    </w:lvl>
    <w:lvl w:ilvl="3" w:tentative="1">
      <w:start w:val="1"/>
      <w:numFmt w:val="decimal"/>
      <w:lvlText w:val="%4."/>
      <w:lvlJc w:val="left"/>
      <w:pPr>
        <w:tabs>
          <w:tab w:val="num" w:pos="1890"/>
        </w:tabs>
        <w:ind w:left="1890" w:hanging="360"/>
      </w:pPr>
    </w:lvl>
    <w:lvl w:ilvl="4" w:tentative="1">
      <w:start w:val="1"/>
      <w:numFmt w:val="decimal"/>
      <w:lvlText w:val="%5."/>
      <w:lvlJc w:val="left"/>
      <w:pPr>
        <w:tabs>
          <w:tab w:val="num" w:pos="2610"/>
        </w:tabs>
        <w:ind w:left="2610" w:hanging="360"/>
      </w:pPr>
    </w:lvl>
    <w:lvl w:ilvl="5" w:tentative="1">
      <w:start w:val="1"/>
      <w:numFmt w:val="decimal"/>
      <w:lvlText w:val="%6."/>
      <w:lvlJc w:val="left"/>
      <w:pPr>
        <w:tabs>
          <w:tab w:val="num" w:pos="3330"/>
        </w:tabs>
        <w:ind w:left="3330" w:hanging="360"/>
      </w:pPr>
    </w:lvl>
    <w:lvl w:ilvl="6" w:tentative="1">
      <w:start w:val="1"/>
      <w:numFmt w:val="decimal"/>
      <w:lvlText w:val="%7."/>
      <w:lvlJc w:val="left"/>
      <w:pPr>
        <w:tabs>
          <w:tab w:val="num" w:pos="4050"/>
        </w:tabs>
        <w:ind w:left="4050" w:hanging="360"/>
      </w:pPr>
    </w:lvl>
    <w:lvl w:ilvl="7" w:tentative="1">
      <w:start w:val="1"/>
      <w:numFmt w:val="decimal"/>
      <w:lvlText w:val="%8."/>
      <w:lvlJc w:val="left"/>
      <w:pPr>
        <w:tabs>
          <w:tab w:val="num" w:pos="4770"/>
        </w:tabs>
        <w:ind w:left="4770" w:hanging="360"/>
      </w:pPr>
    </w:lvl>
    <w:lvl w:ilvl="8" w:tentative="1">
      <w:start w:val="1"/>
      <w:numFmt w:val="decimal"/>
      <w:lvlText w:val="%9."/>
      <w:lvlJc w:val="left"/>
      <w:pPr>
        <w:tabs>
          <w:tab w:val="num" w:pos="5490"/>
        </w:tabs>
        <w:ind w:left="549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0"/>
    <w:rsid w:val="00701772"/>
    <w:rsid w:val="00767C50"/>
    <w:rsid w:val="007F50D4"/>
    <w:rsid w:val="008350D9"/>
    <w:rsid w:val="00CD5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D553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D5530"/>
    <w:rPr>
      <w:i/>
      <w:iCs/>
    </w:rPr>
  </w:style>
  <w:style w:type="character" w:styleId="Strong">
    <w:name w:val="Strong"/>
    <w:basedOn w:val="DefaultParagraphFont"/>
    <w:uiPriority w:val="22"/>
    <w:qFormat/>
    <w:rsid w:val="00CD5530"/>
    <w:rPr>
      <w:b/>
      <w:bCs/>
    </w:rPr>
  </w:style>
  <w:style w:type="character" w:styleId="Hyperlink">
    <w:name w:val="Hyperlink"/>
    <w:basedOn w:val="DefaultParagraphFont"/>
    <w:uiPriority w:val="99"/>
    <w:semiHidden/>
    <w:unhideWhenUsed/>
    <w:rsid w:val="00701772"/>
    <w:rPr>
      <w:strike w:val="0"/>
      <w:dstrike w:val="0"/>
      <w:color w:val="00759B"/>
      <w:u w:val="none"/>
      <w:effect w:val="none"/>
    </w:rPr>
  </w:style>
  <w:style w:type="paragraph" w:styleId="NormalWeb">
    <w:name w:val="Normal (Web)"/>
    <w:basedOn w:val="Normal"/>
    <w:uiPriority w:val="99"/>
    <w:semiHidden/>
    <w:unhideWhenUsed/>
    <w:rsid w:val="00701772"/>
    <w:pPr>
      <w:spacing w:after="15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D553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D5530"/>
    <w:rPr>
      <w:i/>
      <w:iCs/>
    </w:rPr>
  </w:style>
  <w:style w:type="character" w:styleId="Strong">
    <w:name w:val="Strong"/>
    <w:basedOn w:val="DefaultParagraphFont"/>
    <w:uiPriority w:val="22"/>
    <w:qFormat/>
    <w:rsid w:val="00CD5530"/>
    <w:rPr>
      <w:b/>
      <w:bCs/>
    </w:rPr>
  </w:style>
  <w:style w:type="character" w:styleId="Hyperlink">
    <w:name w:val="Hyperlink"/>
    <w:basedOn w:val="DefaultParagraphFont"/>
    <w:uiPriority w:val="99"/>
    <w:semiHidden/>
    <w:unhideWhenUsed/>
    <w:rsid w:val="00701772"/>
    <w:rPr>
      <w:strike w:val="0"/>
      <w:dstrike w:val="0"/>
      <w:color w:val="00759B"/>
      <w:u w:val="none"/>
      <w:effect w:val="none"/>
    </w:rPr>
  </w:style>
  <w:style w:type="paragraph" w:styleId="NormalWeb">
    <w:name w:val="Normal (Web)"/>
    <w:basedOn w:val="Normal"/>
    <w:uiPriority w:val="99"/>
    <w:semiHidden/>
    <w:unhideWhenUsed/>
    <w:rsid w:val="00701772"/>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3174">
      <w:bodyDiv w:val="1"/>
      <w:marLeft w:val="0"/>
      <w:marRight w:val="0"/>
      <w:marTop w:val="0"/>
      <w:marBottom w:val="0"/>
      <w:divBdr>
        <w:top w:val="none" w:sz="0" w:space="0" w:color="auto"/>
        <w:left w:val="none" w:sz="0" w:space="0" w:color="auto"/>
        <w:bottom w:val="none" w:sz="0" w:space="0" w:color="auto"/>
        <w:right w:val="none" w:sz="0" w:space="0" w:color="auto"/>
      </w:divBdr>
    </w:div>
    <w:div w:id="765612056">
      <w:bodyDiv w:val="1"/>
      <w:marLeft w:val="0"/>
      <w:marRight w:val="0"/>
      <w:marTop w:val="0"/>
      <w:marBottom w:val="0"/>
      <w:divBdr>
        <w:top w:val="none" w:sz="0" w:space="0" w:color="auto"/>
        <w:left w:val="none" w:sz="0" w:space="0" w:color="auto"/>
        <w:bottom w:val="none" w:sz="0" w:space="0" w:color="auto"/>
        <w:right w:val="none" w:sz="0" w:space="0" w:color="auto"/>
      </w:divBdr>
      <w:divsChild>
        <w:div w:id="860050739">
          <w:marLeft w:val="0"/>
          <w:marRight w:val="0"/>
          <w:marTop w:val="0"/>
          <w:marBottom w:val="0"/>
          <w:divBdr>
            <w:top w:val="none" w:sz="0" w:space="0" w:color="auto"/>
            <w:left w:val="none" w:sz="0" w:space="0" w:color="auto"/>
            <w:bottom w:val="none" w:sz="0" w:space="0" w:color="auto"/>
            <w:right w:val="none" w:sz="0" w:space="0" w:color="auto"/>
          </w:divBdr>
          <w:divsChild>
            <w:div w:id="925531239">
              <w:marLeft w:val="0"/>
              <w:marRight w:val="0"/>
              <w:marTop w:val="0"/>
              <w:marBottom w:val="0"/>
              <w:divBdr>
                <w:top w:val="none" w:sz="0" w:space="0" w:color="auto"/>
                <w:left w:val="none" w:sz="0" w:space="0" w:color="auto"/>
                <w:bottom w:val="none" w:sz="0" w:space="0" w:color="auto"/>
                <w:right w:val="none" w:sz="0" w:space="0" w:color="auto"/>
              </w:divBdr>
              <w:divsChild>
                <w:div w:id="595748616">
                  <w:marLeft w:val="0"/>
                  <w:marRight w:val="0"/>
                  <w:marTop w:val="0"/>
                  <w:marBottom w:val="0"/>
                  <w:divBdr>
                    <w:top w:val="none" w:sz="0" w:space="0" w:color="auto"/>
                    <w:left w:val="none" w:sz="0" w:space="0" w:color="auto"/>
                    <w:bottom w:val="none" w:sz="0" w:space="0" w:color="auto"/>
                    <w:right w:val="none" w:sz="0" w:space="0" w:color="auto"/>
                  </w:divBdr>
                  <w:divsChild>
                    <w:div w:id="219559350">
                      <w:marLeft w:val="0"/>
                      <w:marRight w:val="0"/>
                      <w:marTop w:val="0"/>
                      <w:marBottom w:val="150"/>
                      <w:divBdr>
                        <w:top w:val="single" w:sz="6" w:space="0" w:color="DFDFDF"/>
                        <w:left w:val="single" w:sz="6" w:space="0" w:color="DFDFDF"/>
                        <w:bottom w:val="single" w:sz="6" w:space="8" w:color="DFDFDF"/>
                        <w:right w:val="single" w:sz="6" w:space="0" w:color="DFDFDF"/>
                      </w:divBdr>
                      <w:divsChild>
                        <w:div w:id="178586321">
                          <w:marLeft w:val="300"/>
                          <w:marRight w:val="0"/>
                          <w:marTop w:val="0"/>
                          <w:marBottom w:val="0"/>
                          <w:divBdr>
                            <w:top w:val="none" w:sz="0" w:space="0" w:color="auto"/>
                            <w:left w:val="none" w:sz="0" w:space="0" w:color="auto"/>
                            <w:bottom w:val="single" w:sz="6" w:space="8" w:color="DFDFD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2</cp:revision>
  <dcterms:created xsi:type="dcterms:W3CDTF">2013-08-22T14:08:00Z</dcterms:created>
  <dcterms:modified xsi:type="dcterms:W3CDTF">2013-08-22T14:08:00Z</dcterms:modified>
</cp:coreProperties>
</file>